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A9" w:rsidRPr="003C1079" w:rsidRDefault="00004EA9" w:rsidP="00EE06E8">
      <w:pPr>
        <w:jc w:val="center"/>
      </w:pPr>
      <w:r>
        <w:t>Решения (бюллетень голосования)</w:t>
      </w:r>
    </w:p>
    <w:p w:rsidR="00004EA9" w:rsidRPr="002C5A9B" w:rsidRDefault="00004EA9" w:rsidP="00EE06E8">
      <w:pPr>
        <w:jc w:val="center"/>
      </w:pPr>
      <w:r w:rsidRPr="002C5A9B">
        <w:t>собственник</w:t>
      </w:r>
      <w:r>
        <w:t>а</w:t>
      </w:r>
      <w:r w:rsidRPr="002C5A9B">
        <w:t xml:space="preserve"> помещений </w:t>
      </w:r>
      <w:r>
        <w:t>многоквартирного</w:t>
      </w:r>
      <w:r w:rsidRPr="002C5A9B">
        <w:t xml:space="preserve"> дома</w:t>
      </w:r>
    </w:p>
    <w:p w:rsidR="00004EA9" w:rsidRDefault="00004EA9" w:rsidP="00EE06E8">
      <w:pPr>
        <w:pStyle w:val="NormalWeb"/>
        <w:spacing w:before="0" w:beforeAutospacing="0" w:after="0" w:afterAutospacing="0"/>
        <w:jc w:val="center"/>
      </w:pPr>
      <w:r>
        <w:t>г. Санкт-Петербург, бульвар Новаторов, д.  8 лит. А</w:t>
      </w:r>
    </w:p>
    <w:p w:rsidR="00004EA9" w:rsidRDefault="00004EA9" w:rsidP="00EE06E8">
      <w:pPr>
        <w:jc w:val="center"/>
      </w:pPr>
      <w:r w:rsidRPr="003C1079">
        <w:t>при проведении общего</w:t>
      </w:r>
      <w:r>
        <w:t xml:space="preserve"> отчётно-выборного</w:t>
      </w:r>
      <w:r w:rsidRPr="003C1079">
        <w:t xml:space="preserve"> собрания </w:t>
      </w:r>
      <w:r>
        <w:t>собственников помещений</w:t>
      </w:r>
    </w:p>
    <w:p w:rsidR="00004EA9" w:rsidRPr="003C1079" w:rsidRDefault="00004EA9" w:rsidP="00EE06E8">
      <w:pPr>
        <w:jc w:val="center"/>
      </w:pPr>
      <w:r w:rsidRPr="003C1079">
        <w:t>в форме очно-заочного голосования</w:t>
      </w:r>
      <w:r>
        <w:t xml:space="preserve"> </w:t>
      </w:r>
      <w:r w:rsidRPr="003C1079">
        <w:t xml:space="preserve">в период </w:t>
      </w:r>
      <w:r>
        <w:t>с 15</w:t>
      </w:r>
      <w:r w:rsidRPr="005B17CB">
        <w:t xml:space="preserve"> </w:t>
      </w:r>
      <w:r>
        <w:t>мая</w:t>
      </w:r>
      <w:r w:rsidRPr="005B17CB">
        <w:t xml:space="preserve"> по </w:t>
      </w:r>
      <w:r>
        <w:t>15 июня 2019 г.</w:t>
      </w:r>
    </w:p>
    <w:p w:rsidR="00004EA9" w:rsidRPr="003C1079" w:rsidRDefault="00004EA9" w:rsidP="00EE06E8">
      <w:pPr>
        <w:pStyle w:val="BodyText2"/>
        <w:spacing w:line="276" w:lineRule="auto"/>
        <w:rPr>
          <w:sz w:val="24"/>
          <w:szCs w:val="24"/>
        </w:rPr>
      </w:pPr>
    </w:p>
    <w:p w:rsidR="00004EA9" w:rsidRDefault="00004EA9" w:rsidP="00EE06E8">
      <w:r>
        <w:t xml:space="preserve">Ф.И.О. собственника помещений или его уполномоченного представителя (со ссылкой на доверенность): </w:t>
      </w:r>
    </w:p>
    <w:p w:rsidR="00004EA9" w:rsidRDefault="00004EA9" w:rsidP="00EE06E8">
      <w:r>
        <w:t xml:space="preserve">Адрес помещения: </w:t>
      </w:r>
      <w:r w:rsidRPr="00D45227">
        <w:t xml:space="preserve">Санкт-Петербург, </w:t>
      </w:r>
      <w:r w:rsidRPr="0078176F">
        <w:t>бульвар Новаторов, д.  8 лит. а</w:t>
      </w:r>
    </w:p>
    <w:p w:rsidR="00004EA9" w:rsidRDefault="00004EA9" w:rsidP="00EE06E8">
      <w:r>
        <w:t>№    _________    квартиры, нежилого помещения (нужный тип помещения подчеркнуть).</w:t>
      </w:r>
    </w:p>
    <w:p w:rsidR="00004EA9" w:rsidRDefault="00004EA9" w:rsidP="00EE06E8">
      <w:r>
        <w:t>Телефон: _________________________</w:t>
      </w:r>
    </w:p>
    <w:p w:rsidR="00004EA9" w:rsidRDefault="00004EA9" w:rsidP="00EE06E8">
      <w:r>
        <w:t>Свидетельство о государственной регистрации права собственности (иной документ)</w:t>
      </w:r>
    </w:p>
    <w:p w:rsidR="00004EA9" w:rsidRDefault="00004EA9" w:rsidP="00EE06E8">
      <w:r>
        <w:t>__________________________________________________________________________________</w:t>
      </w:r>
    </w:p>
    <w:p w:rsidR="00004EA9" w:rsidRDefault="00004EA9" w:rsidP="00EE06E8">
      <w:r>
        <w:t xml:space="preserve">Общая площадь помещения (кв. м) ___________  </w:t>
      </w:r>
    </w:p>
    <w:p w:rsidR="00004EA9" w:rsidRDefault="00004EA9" w:rsidP="00EE06E8">
      <w:r>
        <w:t>Доля в собственности на помещение  (кв. м) ________</w:t>
      </w:r>
    </w:p>
    <w:p w:rsidR="00004EA9" w:rsidRDefault="00004EA9" w:rsidP="00EE06E8">
      <w:pPr>
        <w:rPr>
          <w:sz w:val="22"/>
          <w:szCs w:val="22"/>
        </w:rPr>
      </w:pPr>
      <w:r w:rsidRPr="00D545D8">
        <w:rPr>
          <w:sz w:val="22"/>
          <w:szCs w:val="22"/>
        </w:rPr>
        <w:t xml:space="preserve">Обращаем Ваше внимание: при голосовании засчитываются только те голоса, по которым собственником оставлен только один из возможных вариантов (статья 48 Жилищного Кодекса РФ). Для обозначения вашего выбора поставьте знак  </w:t>
      </w:r>
      <w:r>
        <w:rPr>
          <w:sz w:val="22"/>
          <w:szCs w:val="22"/>
        </w:rPr>
        <w:t>«</w:t>
      </w:r>
      <w:r>
        <w:rPr>
          <w:sz w:val="28"/>
          <w:szCs w:val="28"/>
          <w:lang w:val="en-US"/>
        </w:rPr>
        <w:t>V</w:t>
      </w:r>
      <w:r>
        <w:rPr>
          <w:sz w:val="28"/>
          <w:szCs w:val="28"/>
        </w:rPr>
        <w:t>»</w:t>
      </w:r>
      <w:r w:rsidRPr="00D545D8">
        <w:rPr>
          <w:sz w:val="28"/>
          <w:szCs w:val="28"/>
        </w:rPr>
        <w:t xml:space="preserve"> </w:t>
      </w:r>
      <w:r w:rsidRPr="00D545D8">
        <w:rPr>
          <w:sz w:val="22"/>
          <w:szCs w:val="22"/>
        </w:rPr>
        <w:t xml:space="preserve">только </w:t>
      </w:r>
      <w:r>
        <w:rPr>
          <w:sz w:val="22"/>
          <w:szCs w:val="22"/>
        </w:rPr>
        <w:t>за один</w:t>
      </w:r>
      <w:r w:rsidRPr="00D545D8">
        <w:rPr>
          <w:sz w:val="22"/>
          <w:szCs w:val="22"/>
        </w:rPr>
        <w:t xml:space="preserve"> из вариантов ответа «за», «против», «воздержался».</w:t>
      </w:r>
    </w:p>
    <w:p w:rsidR="00004EA9" w:rsidRPr="00D545D8" w:rsidRDefault="00004EA9" w:rsidP="00EE06E8">
      <w:pPr>
        <w:spacing w:line="276" w:lineRule="auto"/>
        <w:rPr>
          <w:sz w:val="22"/>
          <w:szCs w:val="22"/>
        </w:rPr>
      </w:pPr>
    </w:p>
    <w:p w:rsidR="00004EA9" w:rsidRDefault="00004EA9" w:rsidP="00EE06E8">
      <w:pPr>
        <w:pStyle w:val="BodyText"/>
        <w:spacing w:line="276" w:lineRule="auto"/>
        <w:rPr>
          <w:b w:val="0"/>
          <w:bCs w:val="0"/>
          <w:sz w:val="24"/>
          <w:szCs w:val="24"/>
        </w:rPr>
      </w:pPr>
      <w:r w:rsidRPr="00F455C2">
        <w:rPr>
          <w:b w:val="0"/>
          <w:bCs w:val="0"/>
          <w:sz w:val="24"/>
          <w:szCs w:val="24"/>
        </w:rPr>
        <w:t>Вопросы, поставленные на голосование:</w:t>
      </w:r>
    </w:p>
    <w:tbl>
      <w:tblPr>
        <w:tblW w:w="107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7270"/>
        <w:gridCol w:w="764"/>
        <w:gridCol w:w="992"/>
        <w:gridCol w:w="1020"/>
      </w:tblGrid>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 п/п</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Формулировка решения</w:t>
            </w:r>
          </w:p>
        </w:tc>
        <w:tc>
          <w:tcPr>
            <w:tcW w:w="764"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За</w:t>
            </w:r>
          </w:p>
        </w:tc>
        <w:tc>
          <w:tcPr>
            <w:tcW w:w="992"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Против</w:t>
            </w:r>
          </w:p>
        </w:tc>
        <w:tc>
          <w:tcPr>
            <w:tcW w:w="1020"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Воздер-</w:t>
            </w:r>
          </w:p>
          <w:p w:rsidR="00004EA9" w:rsidRPr="002D2C79" w:rsidRDefault="00004EA9" w:rsidP="002D2C79">
            <w:pPr>
              <w:pStyle w:val="BodyText"/>
              <w:spacing w:line="276" w:lineRule="auto"/>
              <w:rPr>
                <w:b w:val="0"/>
                <w:bCs w:val="0"/>
                <w:sz w:val="24"/>
                <w:szCs w:val="24"/>
              </w:rPr>
            </w:pPr>
            <w:r w:rsidRPr="002D2C79">
              <w:rPr>
                <w:b w:val="0"/>
                <w:bCs w:val="0"/>
                <w:sz w:val="24"/>
                <w:szCs w:val="24"/>
              </w:rPr>
              <w:t>жался</w:t>
            </w: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1</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Работы по текущему ремонту общего имущества в многоквартирном доме проводить в объемах и в сроки, определяемых Товариществом собственников жилья «Дачное» (далее - товарищество) как организацией, осуществляющей управление многоквартирным домом.</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2</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Утвердить типовой договор о содержании и ремонте общего имущества и предоставлении коммунальных услуг собственникам помещений, не являющихся членами товарищества.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3</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Утвердить перечень услуг и работ по содержанию общедомового имущества, условия их оказания и выполнения в соответствии с постановлением Правительства РФ от 3 апреля 2013 г. № 290, размер их финансирования – в соответствии со сметой доходов и расходов товарищества на соответствующий календарный год.</w:t>
            </w:r>
          </w:p>
          <w:p w:rsidR="00004EA9" w:rsidRPr="002D2C79" w:rsidRDefault="00004EA9" w:rsidP="002D2C79">
            <w:pPr>
              <w:pStyle w:val="BodyText"/>
              <w:jc w:val="both"/>
              <w:rPr>
                <w:b w:val="0"/>
                <w:bCs w:val="0"/>
                <w:sz w:val="24"/>
                <w:szCs w:val="24"/>
              </w:rPr>
            </w:pPr>
            <w:r w:rsidRPr="002D2C79">
              <w:rPr>
                <w:b w:val="0"/>
                <w:bCs w:val="0"/>
                <w:sz w:val="24"/>
                <w:szCs w:val="24"/>
              </w:rPr>
              <w:t>В качестве дополнительной услуги утвердить:</w:t>
            </w:r>
          </w:p>
          <w:p w:rsidR="00004EA9" w:rsidRPr="002D2C79" w:rsidRDefault="00004EA9" w:rsidP="002D2C79">
            <w:pPr>
              <w:pStyle w:val="BodyText"/>
              <w:jc w:val="both"/>
              <w:rPr>
                <w:b w:val="0"/>
                <w:bCs w:val="0"/>
                <w:sz w:val="24"/>
                <w:szCs w:val="24"/>
              </w:rPr>
            </w:pPr>
            <w:r w:rsidRPr="002D2C79">
              <w:rPr>
                <w:b w:val="0"/>
                <w:bCs w:val="0"/>
                <w:sz w:val="24"/>
                <w:szCs w:val="24"/>
              </w:rPr>
              <w:t>- техническое обслуживание и ремонт системы видеонаблюдения: круглосуточная видеофиксация мест общего пользования (в том числе на лестничных площадках и придомовой территории) для обеспечения безопасности жильцов и сохранности имущества, профилактики правонарушений;</w:t>
            </w:r>
          </w:p>
          <w:p w:rsidR="00004EA9" w:rsidRPr="002D2C79" w:rsidRDefault="00004EA9" w:rsidP="002D2C79">
            <w:pPr>
              <w:pStyle w:val="BodyText"/>
              <w:jc w:val="both"/>
              <w:rPr>
                <w:b w:val="0"/>
                <w:bCs w:val="0"/>
                <w:sz w:val="24"/>
                <w:szCs w:val="24"/>
              </w:rPr>
            </w:pPr>
            <w:r w:rsidRPr="002D2C79">
              <w:rPr>
                <w:b w:val="0"/>
                <w:bCs w:val="0"/>
                <w:sz w:val="24"/>
                <w:szCs w:val="24"/>
              </w:rPr>
              <w:t>- техническое обслуживание и ремонт системы доступа (домофон): круглосуточное обслуживание системы переговорно-замочного устройства.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4</w:t>
            </w:r>
          </w:p>
        </w:tc>
        <w:tc>
          <w:tcPr>
            <w:tcW w:w="7270" w:type="dxa"/>
          </w:tcPr>
          <w:p w:rsidR="00004EA9" w:rsidRPr="002D2C79" w:rsidRDefault="00004EA9" w:rsidP="00F63718">
            <w:pPr>
              <w:pStyle w:val="NoSpacing"/>
              <w:rPr>
                <w:b/>
                <w:bCs/>
              </w:rPr>
            </w:pPr>
            <w:r w:rsidRPr="000C17B5">
              <w:t>Разрешить использование части общего имущества собственников помещений в многоквартирном доме на возмездной основе заинтересованным лицам при условии обеспечения законных прав и интересов собственников помещений и содержании такого имущества в надлежащем состоянии.</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5</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Определить лицом, которое от имени собственников помещений в многоквартирном доме уполномочено на заключение договоров об использовании общего имущества собственников помещений в многоквартирном доме, - председателя правления товарищества.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6</w:t>
            </w:r>
          </w:p>
        </w:tc>
        <w:tc>
          <w:tcPr>
            <w:tcW w:w="7270" w:type="dxa"/>
          </w:tcPr>
          <w:p w:rsidR="00004EA9" w:rsidRDefault="00004EA9" w:rsidP="002D2C79">
            <w:pPr>
              <w:ind w:firstLine="34"/>
            </w:pPr>
            <w:r>
              <w:t xml:space="preserve">Определить следующие </w:t>
            </w:r>
            <w:r w:rsidRPr="004148D3">
              <w:t>существенны</w:t>
            </w:r>
            <w:r>
              <w:t>е</w:t>
            </w:r>
            <w:r w:rsidRPr="004148D3">
              <w:t xml:space="preserve"> услови</w:t>
            </w:r>
            <w:r>
              <w:t>я</w:t>
            </w:r>
            <w:r w:rsidRPr="004148D3">
              <w:t xml:space="preserve"> договоров об использовании общего имущества</w:t>
            </w:r>
            <w:r>
              <w:t>:</w:t>
            </w:r>
          </w:p>
          <w:p w:rsidR="00004EA9" w:rsidRDefault="00004EA9" w:rsidP="002D2C79">
            <w:pPr>
              <w:ind w:firstLine="34"/>
            </w:pPr>
            <w:r>
              <w:t>срок договора – не менее 3-х месяцев;</w:t>
            </w:r>
          </w:p>
          <w:p w:rsidR="00004EA9" w:rsidRDefault="00004EA9" w:rsidP="002D2C79">
            <w:pPr>
              <w:ind w:firstLine="34"/>
            </w:pPr>
            <w:r>
              <w:t>цена договора – определяется сторонами по договору на основании анализа спроса и предложений по аналогичным услугам;</w:t>
            </w:r>
          </w:p>
          <w:p w:rsidR="00004EA9" w:rsidRPr="002D2C79" w:rsidRDefault="00004EA9" w:rsidP="002D2C79">
            <w:pPr>
              <w:ind w:firstLine="34"/>
              <w:rPr>
                <w:b/>
                <w:bCs/>
              </w:rPr>
            </w:pPr>
            <w:r>
              <w:t>объект использования – часть общедомового имущества, определяемого в соответствии с действующим законодательством.</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7</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Денежные средства за использование общего имущества собственников помещений в многоквартирном доме на основании заключенных договоров переводить на счет товарищества и расходовать их на ремонт и содержание общедомового имущества по решению органов управления товарищества.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sidRPr="002D2C79">
              <w:rPr>
                <w:b w:val="0"/>
                <w:bCs w:val="0"/>
                <w:sz w:val="24"/>
                <w:szCs w:val="24"/>
              </w:rPr>
              <w:t>8</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Принять решение о заключении собственниками помещений в многоквартирном доме договора холодного и горячего водоснабжения, водоотведения, отопления (теплоснабжения),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(заключение прямых договоров на поставку коммунальных ресурсов)</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9</w:t>
            </w:r>
          </w:p>
        </w:tc>
        <w:tc>
          <w:tcPr>
            <w:tcW w:w="7270" w:type="dxa"/>
          </w:tcPr>
          <w:p w:rsidR="00004EA9" w:rsidRDefault="00004EA9" w:rsidP="00DB4EFB">
            <w:pPr>
              <w:tabs>
                <w:tab w:val="left" w:pos="851"/>
                <w:tab w:val="left" w:pos="993"/>
              </w:tabs>
            </w:pPr>
            <w:r>
              <w:t>Обеспечение собственниками помещений обязательных требований пожарной безопасности и Жилищного законодательства (в местах общего пользования).</w:t>
            </w:r>
          </w:p>
          <w:p w:rsidR="00004EA9" w:rsidRPr="002D2C79" w:rsidRDefault="00004EA9" w:rsidP="002D2C79">
            <w:pPr>
              <w:pStyle w:val="BodyText"/>
              <w:jc w:val="both"/>
              <w:rPr>
                <w:b w:val="0"/>
                <w:bCs w:val="0"/>
                <w:sz w:val="24"/>
                <w:szCs w:val="24"/>
              </w:rPr>
            </w:pP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10</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Утвердить перечень работ по капитальному ремонту общедомового имущества – капитальный ремонт кровли.</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11</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 xml:space="preserve">Определить предельно допустимую стоимость услуг работ по капитальному ремонту общедомового имущества – </w:t>
            </w:r>
            <w:r w:rsidRPr="00882B97">
              <w:rPr>
                <w:b w:val="0"/>
                <w:bCs w:val="0"/>
                <w:sz w:val="24"/>
                <w:szCs w:val="24"/>
              </w:rPr>
              <w:t>3052615</w:t>
            </w:r>
            <w:r>
              <w:rPr>
                <w:b w:val="0"/>
                <w:bCs w:val="0"/>
                <w:sz w:val="24"/>
                <w:szCs w:val="24"/>
              </w:rPr>
              <w:t>.00</w:t>
            </w:r>
            <w:r w:rsidRPr="002D2C79">
              <w:rPr>
                <w:b w:val="0"/>
                <w:bCs w:val="0"/>
                <w:sz w:val="24"/>
                <w:szCs w:val="24"/>
              </w:rPr>
              <w:t>руб.</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12</w:t>
            </w:r>
          </w:p>
        </w:tc>
        <w:tc>
          <w:tcPr>
            <w:tcW w:w="7270" w:type="dxa"/>
          </w:tcPr>
          <w:p w:rsidR="00004EA9" w:rsidRPr="002D2C79" w:rsidRDefault="00004EA9" w:rsidP="002D2C79">
            <w:pPr>
              <w:ind w:firstLine="34"/>
              <w:rPr>
                <w:b/>
                <w:bCs/>
              </w:rPr>
            </w:pPr>
            <w:r>
              <w:t>У</w:t>
            </w:r>
            <w:r w:rsidRPr="0004713A">
              <w:t>твердить источник финансирования капитального ремонта общедомового имущества</w:t>
            </w:r>
            <w:r>
              <w:t xml:space="preserve"> </w:t>
            </w:r>
            <w:r w:rsidRPr="0004713A">
              <w:t>– за счет средств фонда капитального ремонта, формируемого на специальном счете товарищества.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13</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Капитальный ремонт общедомового имущества выполнить в 2019-2020 г.г.</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14</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В качестве лица,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 определить председателя правления товарищества.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15</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Включить в состав общедомового имущества системы видеонаблюдения, размещенные на фасаде здания (в целях видеофиксации обстановки мест общего пользования для обеспечения безопасности жильцов и сохранности имущества, профилактики правонарушений)</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16</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Принять решение о распределении объема коммунальных услуг на общедомовые нужды между всеми жилыми и нежилыми помещениями пропорционально размеру общей площади помещения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(п. 9.2 ст. 156 ЖК РФ, п. 44 Правил предоставления коммунальных услуг, утвержденных Постановлением Правительства РФ от 06.05.2011 № 354).</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17</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Принять решение о распределении потребленного объема коммунальных ресурсов, зафиксированного общедомовыми приборами учета тепловой энергии в межотопительный период (в том числе связанного с теплоотдачей от неизолированных стояков и (или) полотенцесушителей), пропорционально между всеми жилыми и нежилыми помещениями (письмо Комитета по тарифам Санкт-Петербурга совместно с Жилищным комитетом и Комитетом по энергетике и инженерному обеспечению от 15.08.2013 № 01-13-922/13-0-0).</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18</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Определить следующие дополнительные меры к должникам за потребленные жилищно-коммунальные услуги:</w:t>
            </w:r>
          </w:p>
          <w:p w:rsidR="00004EA9" w:rsidRPr="002D2C79" w:rsidRDefault="00004EA9" w:rsidP="002D2C79">
            <w:pPr>
              <w:pStyle w:val="BodyText"/>
              <w:jc w:val="both"/>
              <w:rPr>
                <w:b w:val="0"/>
                <w:bCs w:val="0"/>
                <w:sz w:val="24"/>
                <w:szCs w:val="24"/>
              </w:rPr>
            </w:pPr>
            <w:r w:rsidRPr="002D2C79">
              <w:rPr>
                <w:b w:val="0"/>
                <w:bCs w:val="0"/>
                <w:sz w:val="24"/>
                <w:szCs w:val="24"/>
              </w:rPr>
              <w:t>- ограничение поставки коммунальных услуг;</w:t>
            </w:r>
          </w:p>
          <w:p w:rsidR="00004EA9" w:rsidRPr="002D2C79" w:rsidRDefault="00004EA9" w:rsidP="002D2C79">
            <w:pPr>
              <w:pStyle w:val="BodyText"/>
              <w:jc w:val="both"/>
              <w:rPr>
                <w:b w:val="0"/>
                <w:bCs w:val="0"/>
                <w:sz w:val="24"/>
                <w:szCs w:val="24"/>
              </w:rPr>
            </w:pPr>
            <w:r w:rsidRPr="002D2C79">
              <w:rPr>
                <w:b w:val="0"/>
                <w:bCs w:val="0"/>
                <w:sz w:val="24"/>
                <w:szCs w:val="24"/>
              </w:rPr>
              <w:t>- ограничение услуги двусторонней связи в «домофоне»;</w:t>
            </w:r>
          </w:p>
          <w:p w:rsidR="00004EA9" w:rsidRPr="002D2C79" w:rsidRDefault="00004EA9" w:rsidP="002D2C79">
            <w:pPr>
              <w:pStyle w:val="BodyText"/>
              <w:jc w:val="both"/>
              <w:rPr>
                <w:b w:val="0"/>
                <w:bCs w:val="0"/>
                <w:sz w:val="24"/>
                <w:szCs w:val="24"/>
              </w:rPr>
            </w:pPr>
            <w:r w:rsidRPr="002D2C79">
              <w:rPr>
                <w:b w:val="0"/>
                <w:bCs w:val="0"/>
                <w:sz w:val="24"/>
                <w:szCs w:val="24"/>
              </w:rPr>
              <w:t>- ограничение услуги «радио» и «ТВ антенна» (при наличии);</w:t>
            </w:r>
          </w:p>
          <w:p w:rsidR="00004EA9" w:rsidRPr="002D2C79" w:rsidRDefault="00004EA9" w:rsidP="002D2C79">
            <w:pPr>
              <w:pStyle w:val="BodyText"/>
              <w:jc w:val="both"/>
              <w:rPr>
                <w:b w:val="0"/>
                <w:bCs w:val="0"/>
                <w:sz w:val="24"/>
                <w:szCs w:val="24"/>
              </w:rPr>
            </w:pPr>
            <w:r w:rsidRPr="002D2C79">
              <w:rPr>
                <w:b w:val="0"/>
                <w:bCs w:val="0"/>
                <w:sz w:val="24"/>
                <w:szCs w:val="24"/>
              </w:rPr>
              <w:t>- информирование служб опеки и попечительства (при проживании несовершеннолетних в квартире должника)</w:t>
            </w:r>
          </w:p>
          <w:p w:rsidR="00004EA9" w:rsidRPr="002D2C79" w:rsidRDefault="00004EA9" w:rsidP="002D2C79">
            <w:pPr>
              <w:pStyle w:val="BodyText"/>
              <w:jc w:val="both"/>
              <w:rPr>
                <w:b w:val="0"/>
                <w:bCs w:val="0"/>
                <w:sz w:val="24"/>
                <w:szCs w:val="24"/>
              </w:rPr>
            </w:pPr>
            <w:r w:rsidRPr="002D2C79">
              <w:rPr>
                <w:b w:val="0"/>
                <w:bCs w:val="0"/>
                <w:sz w:val="24"/>
                <w:szCs w:val="24"/>
              </w:rPr>
              <w:t>- привлечение коллекторских агентств.</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19</w:t>
            </w:r>
          </w:p>
        </w:tc>
        <w:tc>
          <w:tcPr>
            <w:tcW w:w="7270" w:type="dxa"/>
          </w:tcPr>
          <w:p w:rsidR="00004EA9" w:rsidRDefault="00004EA9" w:rsidP="002D2C79">
            <w:pPr>
              <w:pStyle w:val="10"/>
              <w:tabs>
                <w:tab w:val="left" w:pos="993"/>
              </w:tabs>
              <w:ind w:firstLine="33"/>
            </w:pPr>
            <w:r w:rsidRPr="002D2C79">
              <w:t xml:space="preserve">Утвердить следующий порядок </w:t>
            </w:r>
            <w:r w:rsidRPr="00D7693E">
              <w:t>проведения «шумных» строительных работ</w:t>
            </w:r>
            <w:r>
              <w:t>:</w:t>
            </w:r>
          </w:p>
          <w:p w:rsidR="00004EA9" w:rsidRDefault="00004EA9" w:rsidP="002D2C79">
            <w:pPr>
              <w:pStyle w:val="10"/>
              <w:tabs>
                <w:tab w:val="left" w:pos="993"/>
              </w:tabs>
              <w:ind w:firstLine="33"/>
            </w:pPr>
            <w:r>
              <w:t>- в будние дни: с 9.00 до 13.00, 15.00-20.00, перерыв на дневной сон малолетних детей 13.00-15.00.</w:t>
            </w:r>
          </w:p>
          <w:p w:rsidR="00004EA9" w:rsidRPr="002D2C79" w:rsidRDefault="00004EA9" w:rsidP="002D2C79">
            <w:pPr>
              <w:pStyle w:val="10"/>
              <w:tabs>
                <w:tab w:val="left" w:pos="993"/>
              </w:tabs>
              <w:ind w:firstLine="33"/>
              <w:rPr>
                <w:b/>
                <w:bCs/>
              </w:rPr>
            </w:pPr>
            <w:r>
              <w:t>- в праздничные и выходные дни: с 10.00 до 13.00, 15.00-19.00, перерыв на дневной сон малолетних детей 13.00-15.00.</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20</w:t>
            </w:r>
          </w:p>
        </w:tc>
        <w:tc>
          <w:tcPr>
            <w:tcW w:w="7270" w:type="dxa"/>
          </w:tcPr>
          <w:p w:rsidR="00004EA9" w:rsidRDefault="00004EA9" w:rsidP="007B4B11">
            <w:pPr>
              <w:tabs>
                <w:tab w:val="left" w:pos="851"/>
                <w:tab w:val="left" w:pos="993"/>
              </w:tabs>
            </w:pPr>
            <w:r>
              <w:t xml:space="preserve"> Продолжить работу по заключению договора аренды придомовой территории с Комитетом Имущественных Отношений (КИО) города Санкт-Петербурга.</w:t>
            </w:r>
          </w:p>
          <w:p w:rsidR="00004EA9" w:rsidRPr="002D2C79" w:rsidRDefault="00004EA9" w:rsidP="002D2C79">
            <w:pPr>
              <w:pStyle w:val="BodyText"/>
              <w:jc w:val="both"/>
              <w:rPr>
                <w:b w:val="0"/>
                <w:bCs w:val="0"/>
                <w:sz w:val="24"/>
                <w:szCs w:val="24"/>
              </w:rPr>
            </w:pPr>
            <w:r>
              <w:rPr>
                <w:b w:val="0"/>
                <w:bCs w:val="0"/>
                <w:sz w:val="24"/>
                <w:szCs w:val="24"/>
              </w:rPr>
              <w:t xml:space="preserve"> Обращение в Арбитражный Суд города Санкт-Петербург.</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21</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В качестве способа уведомления собственников помещений о проведении общих собраний и о результатах таких собраний утвердить размещение информации на информационных стендах в подъездах многоквартирного. По решению инициатора собрания отдельным собственникам помещений уведомления о проведении собрания и решения для голосования могут направляться заказным письмом или вручаться под роспись.</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22</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Определить местом хранения протоколов общих собраний собственников помещений и сопутствующих документов - помещение Правления товарищества.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r w:rsidR="00004EA9">
        <w:tc>
          <w:tcPr>
            <w:tcW w:w="669" w:type="dxa"/>
          </w:tcPr>
          <w:p w:rsidR="00004EA9" w:rsidRPr="002D2C79" w:rsidRDefault="00004EA9" w:rsidP="002D2C79">
            <w:pPr>
              <w:pStyle w:val="BodyText"/>
              <w:spacing w:line="276" w:lineRule="auto"/>
              <w:rPr>
                <w:b w:val="0"/>
                <w:bCs w:val="0"/>
                <w:sz w:val="24"/>
                <w:szCs w:val="24"/>
              </w:rPr>
            </w:pPr>
            <w:r>
              <w:rPr>
                <w:b w:val="0"/>
                <w:bCs w:val="0"/>
                <w:sz w:val="24"/>
                <w:szCs w:val="24"/>
              </w:rPr>
              <w:t>23</w:t>
            </w:r>
          </w:p>
        </w:tc>
        <w:tc>
          <w:tcPr>
            <w:tcW w:w="7270" w:type="dxa"/>
          </w:tcPr>
          <w:p w:rsidR="00004EA9" w:rsidRPr="002D2C79" w:rsidRDefault="00004EA9" w:rsidP="002D2C79">
            <w:pPr>
              <w:pStyle w:val="BodyText"/>
              <w:jc w:val="both"/>
              <w:rPr>
                <w:b w:val="0"/>
                <w:bCs w:val="0"/>
                <w:sz w:val="24"/>
                <w:szCs w:val="24"/>
              </w:rPr>
            </w:pPr>
            <w:r w:rsidRPr="002D2C79">
              <w:rPr>
                <w:b w:val="0"/>
                <w:bCs w:val="0"/>
                <w:sz w:val="24"/>
                <w:szCs w:val="24"/>
              </w:rPr>
              <w:t>Определить срок хранения копии протоколов общих собраний собственников помещений в многоквартирном доме, решений таких собственников и сопутствующих документов – 3 года.</w:t>
            </w:r>
          </w:p>
        </w:tc>
        <w:tc>
          <w:tcPr>
            <w:tcW w:w="764" w:type="dxa"/>
          </w:tcPr>
          <w:p w:rsidR="00004EA9" w:rsidRPr="002D2C79" w:rsidRDefault="00004EA9" w:rsidP="002D2C79">
            <w:pPr>
              <w:pStyle w:val="BodyText"/>
              <w:spacing w:line="276" w:lineRule="auto"/>
              <w:rPr>
                <w:b w:val="0"/>
                <w:bCs w:val="0"/>
                <w:sz w:val="24"/>
                <w:szCs w:val="24"/>
              </w:rPr>
            </w:pPr>
          </w:p>
        </w:tc>
        <w:tc>
          <w:tcPr>
            <w:tcW w:w="992" w:type="dxa"/>
          </w:tcPr>
          <w:p w:rsidR="00004EA9" w:rsidRPr="002D2C79" w:rsidRDefault="00004EA9" w:rsidP="002D2C79">
            <w:pPr>
              <w:pStyle w:val="BodyText"/>
              <w:spacing w:line="276" w:lineRule="auto"/>
              <w:rPr>
                <w:b w:val="0"/>
                <w:bCs w:val="0"/>
                <w:sz w:val="24"/>
                <w:szCs w:val="24"/>
              </w:rPr>
            </w:pPr>
          </w:p>
        </w:tc>
        <w:tc>
          <w:tcPr>
            <w:tcW w:w="1020" w:type="dxa"/>
          </w:tcPr>
          <w:p w:rsidR="00004EA9" w:rsidRPr="002D2C79" w:rsidRDefault="00004EA9" w:rsidP="002D2C79">
            <w:pPr>
              <w:pStyle w:val="BodyText"/>
              <w:spacing w:line="276" w:lineRule="auto"/>
              <w:rPr>
                <w:b w:val="0"/>
                <w:bCs w:val="0"/>
                <w:sz w:val="24"/>
                <w:szCs w:val="24"/>
              </w:rPr>
            </w:pPr>
          </w:p>
        </w:tc>
      </w:tr>
    </w:tbl>
    <w:p w:rsidR="00004EA9" w:rsidRDefault="00004EA9" w:rsidP="00EE06E8">
      <w:pPr>
        <w:spacing w:line="276" w:lineRule="auto"/>
      </w:pPr>
    </w:p>
    <w:p w:rsidR="00004EA9" w:rsidRPr="003C1079" w:rsidRDefault="00004EA9" w:rsidP="00EE06E8">
      <w:pPr>
        <w:spacing w:line="276" w:lineRule="auto"/>
      </w:pPr>
      <w:r w:rsidRPr="003C1079">
        <w:t xml:space="preserve">Подпись </w:t>
      </w:r>
      <w:r w:rsidRPr="0004699D">
        <w:t>собственник</w:t>
      </w:r>
      <w:r>
        <w:t>а</w:t>
      </w:r>
      <w:r w:rsidRPr="0004699D">
        <w:t xml:space="preserve"> помещений </w:t>
      </w:r>
      <w:r w:rsidRPr="003C1079">
        <w:t xml:space="preserve">___________________              Дата: _____________________      </w:t>
      </w:r>
    </w:p>
    <w:p w:rsidR="00004EA9" w:rsidRPr="00EE06E8" w:rsidRDefault="00004EA9" w:rsidP="00EE06E8">
      <w:pPr>
        <w:spacing w:line="276" w:lineRule="auto"/>
      </w:pPr>
    </w:p>
    <w:p w:rsidR="00004EA9" w:rsidRPr="007D7B3E" w:rsidRDefault="00004EA9" w:rsidP="007D7B3E">
      <w:pPr>
        <w:pStyle w:val="BodyText2"/>
        <w:ind w:firstLine="567"/>
        <w:rPr>
          <w:sz w:val="24"/>
          <w:szCs w:val="24"/>
        </w:rPr>
      </w:pPr>
      <w:r w:rsidRPr="007D7B3E">
        <w:rPr>
          <w:sz w:val="24"/>
          <w:szCs w:val="24"/>
        </w:rPr>
        <w:t>Ознакомится с документами и/или материалами, которые будут представлены на собрании для утверждения, Вы можете в правлении товарищества в рабочее время.</w:t>
      </w:r>
    </w:p>
    <w:p w:rsidR="00004EA9" w:rsidRDefault="00004EA9" w:rsidP="007D7B3E">
      <w:pPr>
        <w:pStyle w:val="BodyText2"/>
        <w:ind w:firstLine="567"/>
        <w:rPr>
          <w:sz w:val="24"/>
          <w:szCs w:val="24"/>
        </w:rPr>
      </w:pPr>
      <w:r w:rsidRPr="007D7B3E">
        <w:rPr>
          <w:sz w:val="24"/>
          <w:szCs w:val="24"/>
        </w:rPr>
        <w:t>Дополнительно сообщаем, что если Вы не можете принять личное участие в общем собрании, то в собрании может принять участие Ваш представитель, имеющий доверенность, оформленную в соответствии с действующим законодательством.</w:t>
      </w:r>
    </w:p>
    <w:p w:rsidR="00004EA9" w:rsidRPr="00D406C9" w:rsidRDefault="00004EA9" w:rsidP="007D7B3E">
      <w:pPr>
        <w:tabs>
          <w:tab w:val="left" w:pos="993"/>
        </w:tabs>
        <w:ind w:firstLine="567"/>
      </w:pPr>
      <w:r w:rsidRPr="00D406C9">
        <w:t>Заполненные решения (бюллетени) собственникам помещений многоквартирного дома нео</w:t>
      </w:r>
      <w:r>
        <w:t>бходимо опустить в почтовый ящик для заявок и предложений или предоставить в помещение  диспетчерской</w:t>
      </w:r>
      <w:r w:rsidRPr="00D406C9">
        <w:t xml:space="preserve"> ТСЖ </w:t>
      </w:r>
      <w:r>
        <w:t>«Дачное» круглосуточно.</w:t>
      </w:r>
    </w:p>
    <w:p w:rsidR="00004EA9" w:rsidRDefault="00004EA9" w:rsidP="007D7B3E">
      <w:pPr>
        <w:tabs>
          <w:tab w:val="left" w:pos="993"/>
        </w:tabs>
        <w:ind w:firstLine="567"/>
      </w:pPr>
      <w:r w:rsidRPr="002A6B34">
        <w:t>П</w:t>
      </w:r>
      <w:r>
        <w:t>рием бюллетеней заканчивается 15 июня 2019 г. в 24</w:t>
      </w:r>
      <w:r w:rsidRPr="0012074F">
        <w:t>.00</w:t>
      </w:r>
      <w:r>
        <w:t>.</w:t>
      </w:r>
    </w:p>
    <w:p w:rsidR="00004EA9" w:rsidRPr="00EE06E8" w:rsidRDefault="00004EA9" w:rsidP="007D7B3E">
      <w:pPr>
        <w:pStyle w:val="BodyText2"/>
        <w:ind w:firstLine="567"/>
        <w:rPr>
          <w:sz w:val="24"/>
          <w:szCs w:val="24"/>
        </w:rPr>
      </w:pPr>
      <w:bookmarkStart w:id="0" w:name="_GoBack"/>
      <w:bookmarkEnd w:id="0"/>
    </w:p>
    <w:sectPr w:rsidR="00004EA9" w:rsidRPr="00EE06E8" w:rsidSect="007D7B3E">
      <w:footerReference w:type="default" r:id="rId7"/>
      <w:pgSz w:w="11906" w:h="16838"/>
      <w:pgMar w:top="709" w:right="707" w:bottom="568" w:left="1134" w:header="708"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EA9" w:rsidRDefault="00004EA9">
      <w:r>
        <w:separator/>
      </w:r>
    </w:p>
  </w:endnote>
  <w:endnote w:type="continuationSeparator" w:id="0">
    <w:p w:rsidR="00004EA9" w:rsidRDefault="00004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A9" w:rsidRDefault="00004EA9">
    <w:pPr>
      <w:pStyle w:val="Footer"/>
      <w:jc w:val="center"/>
    </w:pPr>
    <w:fldSimple w:instr="PAGE   \* MERGEFORMAT">
      <w:r>
        <w:rPr>
          <w:noProof/>
        </w:rPr>
        <w:t>1</w:t>
      </w:r>
    </w:fldSimple>
  </w:p>
  <w:p w:rsidR="00004EA9" w:rsidRDefault="00004E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EA9" w:rsidRDefault="00004EA9">
      <w:r>
        <w:separator/>
      </w:r>
    </w:p>
  </w:footnote>
  <w:footnote w:type="continuationSeparator" w:id="0">
    <w:p w:rsidR="00004EA9" w:rsidRDefault="00004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74A1"/>
    <w:multiLevelType w:val="hybridMultilevel"/>
    <w:tmpl w:val="245EA192"/>
    <w:lvl w:ilvl="0" w:tplc="B2A6040E">
      <w:start w:val="1"/>
      <w:numFmt w:val="decimal"/>
      <w:lvlText w:val="%1."/>
      <w:lvlJc w:val="left"/>
      <w:pPr>
        <w:ind w:left="92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2A5AAE"/>
    <w:multiLevelType w:val="hybridMultilevel"/>
    <w:tmpl w:val="5EE261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7D4274"/>
    <w:multiLevelType w:val="hybridMultilevel"/>
    <w:tmpl w:val="7BC0F1F8"/>
    <w:lvl w:ilvl="0" w:tplc="663A276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31727C7"/>
    <w:multiLevelType w:val="hybridMultilevel"/>
    <w:tmpl w:val="6384181A"/>
    <w:lvl w:ilvl="0" w:tplc="04190001">
      <w:start w:val="1"/>
      <w:numFmt w:val="bullet"/>
      <w:lvlText w:val=""/>
      <w:lvlJc w:val="left"/>
      <w:pPr>
        <w:tabs>
          <w:tab w:val="num" w:pos="720"/>
        </w:tabs>
        <w:ind w:left="720" w:hanging="360"/>
      </w:pPr>
      <w:rPr>
        <w:rFonts w:ascii="Symbol" w:hAnsi="Symbol" w:cs="Symbol"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A017F58"/>
    <w:multiLevelType w:val="hybridMultilevel"/>
    <w:tmpl w:val="77BAB9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584"/>
    <w:rsid w:val="00004EA9"/>
    <w:rsid w:val="0002686C"/>
    <w:rsid w:val="0004699D"/>
    <w:rsid w:val="0004713A"/>
    <w:rsid w:val="00050372"/>
    <w:rsid w:val="0007766B"/>
    <w:rsid w:val="000C17B5"/>
    <w:rsid w:val="000C23B9"/>
    <w:rsid w:val="000E1B5B"/>
    <w:rsid w:val="000F2FB8"/>
    <w:rsid w:val="0012074F"/>
    <w:rsid w:val="00187E65"/>
    <w:rsid w:val="001A317E"/>
    <w:rsid w:val="001C4637"/>
    <w:rsid w:val="002219F7"/>
    <w:rsid w:val="00240D00"/>
    <w:rsid w:val="00275E4F"/>
    <w:rsid w:val="00275F51"/>
    <w:rsid w:val="00280259"/>
    <w:rsid w:val="002A6B34"/>
    <w:rsid w:val="002B3514"/>
    <w:rsid w:val="002B60CC"/>
    <w:rsid w:val="002C5A9B"/>
    <w:rsid w:val="002C5F7B"/>
    <w:rsid w:val="002D2C79"/>
    <w:rsid w:val="00364976"/>
    <w:rsid w:val="00364BAB"/>
    <w:rsid w:val="003678A1"/>
    <w:rsid w:val="00382867"/>
    <w:rsid w:val="003864B9"/>
    <w:rsid w:val="003C1079"/>
    <w:rsid w:val="003C178B"/>
    <w:rsid w:val="003F5410"/>
    <w:rsid w:val="00403ACF"/>
    <w:rsid w:val="004121FE"/>
    <w:rsid w:val="004148D3"/>
    <w:rsid w:val="004152C4"/>
    <w:rsid w:val="0041704B"/>
    <w:rsid w:val="0042733B"/>
    <w:rsid w:val="0043039A"/>
    <w:rsid w:val="00443AA3"/>
    <w:rsid w:val="0046241B"/>
    <w:rsid w:val="00487C7E"/>
    <w:rsid w:val="004B3EE5"/>
    <w:rsid w:val="004E0959"/>
    <w:rsid w:val="005000B8"/>
    <w:rsid w:val="00507B0C"/>
    <w:rsid w:val="005134F0"/>
    <w:rsid w:val="005201CB"/>
    <w:rsid w:val="00524BD6"/>
    <w:rsid w:val="005251AD"/>
    <w:rsid w:val="00526A78"/>
    <w:rsid w:val="00570DCB"/>
    <w:rsid w:val="00577CE6"/>
    <w:rsid w:val="00594D31"/>
    <w:rsid w:val="005B17CB"/>
    <w:rsid w:val="005D001F"/>
    <w:rsid w:val="005E3343"/>
    <w:rsid w:val="006946C2"/>
    <w:rsid w:val="006B571D"/>
    <w:rsid w:val="006D65B7"/>
    <w:rsid w:val="006E1D16"/>
    <w:rsid w:val="006F219D"/>
    <w:rsid w:val="00757FF4"/>
    <w:rsid w:val="0078176F"/>
    <w:rsid w:val="007A68E9"/>
    <w:rsid w:val="007B4B11"/>
    <w:rsid w:val="007B5316"/>
    <w:rsid w:val="007D6F58"/>
    <w:rsid w:val="007D7B3E"/>
    <w:rsid w:val="007E5C9B"/>
    <w:rsid w:val="00820EFE"/>
    <w:rsid w:val="00827810"/>
    <w:rsid w:val="008337D9"/>
    <w:rsid w:val="0084227F"/>
    <w:rsid w:val="00843617"/>
    <w:rsid w:val="00861CC1"/>
    <w:rsid w:val="008814A9"/>
    <w:rsid w:val="00882B97"/>
    <w:rsid w:val="00883C30"/>
    <w:rsid w:val="00884652"/>
    <w:rsid w:val="00892DC8"/>
    <w:rsid w:val="009061BB"/>
    <w:rsid w:val="00921465"/>
    <w:rsid w:val="00942C50"/>
    <w:rsid w:val="009A231E"/>
    <w:rsid w:val="009B30D1"/>
    <w:rsid w:val="009D7FEE"/>
    <w:rsid w:val="00A96497"/>
    <w:rsid w:val="00AC338D"/>
    <w:rsid w:val="00B236B5"/>
    <w:rsid w:val="00B54506"/>
    <w:rsid w:val="00B56763"/>
    <w:rsid w:val="00B81020"/>
    <w:rsid w:val="00BA6119"/>
    <w:rsid w:val="00BB5578"/>
    <w:rsid w:val="00BC553A"/>
    <w:rsid w:val="00BE72D3"/>
    <w:rsid w:val="00C275E5"/>
    <w:rsid w:val="00C57714"/>
    <w:rsid w:val="00C72F86"/>
    <w:rsid w:val="00C96E73"/>
    <w:rsid w:val="00CA052A"/>
    <w:rsid w:val="00CB7BE3"/>
    <w:rsid w:val="00D406C9"/>
    <w:rsid w:val="00D42630"/>
    <w:rsid w:val="00D45227"/>
    <w:rsid w:val="00D545D8"/>
    <w:rsid w:val="00D623DB"/>
    <w:rsid w:val="00D7693E"/>
    <w:rsid w:val="00DB4EFB"/>
    <w:rsid w:val="00DF6A8C"/>
    <w:rsid w:val="00E0122E"/>
    <w:rsid w:val="00E030EB"/>
    <w:rsid w:val="00E1139A"/>
    <w:rsid w:val="00E24198"/>
    <w:rsid w:val="00E52655"/>
    <w:rsid w:val="00E63B34"/>
    <w:rsid w:val="00EE06E8"/>
    <w:rsid w:val="00EE209E"/>
    <w:rsid w:val="00F2368A"/>
    <w:rsid w:val="00F455C2"/>
    <w:rsid w:val="00F63718"/>
    <w:rsid w:val="00F94170"/>
    <w:rsid w:val="00FA3419"/>
    <w:rsid w:val="00FA600D"/>
    <w:rsid w:val="00FC4132"/>
    <w:rsid w:val="00FC5829"/>
    <w:rsid w:val="00FC7FBD"/>
    <w:rsid w:val="00FD65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52C4"/>
    <w:pPr>
      <w:jc w:val="both"/>
    </w:pPr>
    <w:rPr>
      <w:sz w:val="24"/>
      <w:szCs w:val="24"/>
    </w:rPr>
  </w:style>
  <w:style w:type="paragraph" w:styleId="Heading2">
    <w:name w:val="heading 2"/>
    <w:basedOn w:val="Normal"/>
    <w:next w:val="Normal"/>
    <w:link w:val="Heading2Char"/>
    <w:uiPriority w:val="99"/>
    <w:qFormat/>
    <w:rsid w:val="00FA3419"/>
    <w:pPr>
      <w:keepNext/>
      <w:jc w:val="center"/>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A68E9"/>
    <w:rPr>
      <w:rFonts w:ascii="Cambria" w:hAnsi="Cambria" w:cs="Cambria"/>
      <w:b/>
      <w:bCs/>
      <w:i/>
      <w:iCs/>
      <w:sz w:val="28"/>
      <w:szCs w:val="28"/>
    </w:rPr>
  </w:style>
  <w:style w:type="paragraph" w:styleId="BodyText">
    <w:name w:val="Body Text"/>
    <w:basedOn w:val="Normal"/>
    <w:link w:val="BodyTextChar"/>
    <w:uiPriority w:val="99"/>
    <w:rsid w:val="00FA3419"/>
    <w:pPr>
      <w:jc w:val="center"/>
    </w:pPr>
    <w:rPr>
      <w:b/>
      <w:bCs/>
      <w:sz w:val="28"/>
      <w:szCs w:val="28"/>
    </w:rPr>
  </w:style>
  <w:style w:type="character" w:customStyle="1" w:styleId="BodyTextChar">
    <w:name w:val="Body Text Char"/>
    <w:basedOn w:val="DefaultParagraphFont"/>
    <w:link w:val="BodyText"/>
    <w:uiPriority w:val="99"/>
    <w:locked/>
    <w:rsid w:val="00FC7FBD"/>
    <w:rPr>
      <w:b/>
      <w:bCs/>
      <w:sz w:val="28"/>
      <w:szCs w:val="28"/>
    </w:rPr>
  </w:style>
  <w:style w:type="paragraph" w:styleId="BodyText2">
    <w:name w:val="Body Text 2"/>
    <w:basedOn w:val="Normal"/>
    <w:link w:val="BodyText2Char"/>
    <w:uiPriority w:val="99"/>
    <w:rsid w:val="00FA3419"/>
    <w:rPr>
      <w:sz w:val="28"/>
      <w:szCs w:val="28"/>
    </w:rPr>
  </w:style>
  <w:style w:type="character" w:customStyle="1" w:styleId="BodyText2Char">
    <w:name w:val="Body Text 2 Char"/>
    <w:basedOn w:val="DefaultParagraphFont"/>
    <w:link w:val="BodyText2"/>
    <w:uiPriority w:val="99"/>
    <w:semiHidden/>
    <w:locked/>
    <w:rsid w:val="007A68E9"/>
    <w:rPr>
      <w:sz w:val="24"/>
      <w:szCs w:val="24"/>
    </w:rPr>
  </w:style>
  <w:style w:type="paragraph" w:styleId="BodyTextIndent2">
    <w:name w:val="Body Text Indent 2"/>
    <w:basedOn w:val="Normal"/>
    <w:link w:val="BodyTextIndent2Char"/>
    <w:uiPriority w:val="99"/>
    <w:rsid w:val="00FA341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A68E9"/>
    <w:rPr>
      <w:sz w:val="24"/>
      <w:szCs w:val="24"/>
    </w:rPr>
  </w:style>
  <w:style w:type="character" w:customStyle="1" w:styleId="3">
    <w:name w:val="Знак Знак3"/>
    <w:uiPriority w:val="99"/>
    <w:rsid w:val="00FA3419"/>
    <w:rPr>
      <w:sz w:val="24"/>
      <w:szCs w:val="24"/>
    </w:rPr>
  </w:style>
  <w:style w:type="paragraph" w:styleId="Header">
    <w:name w:val="header"/>
    <w:basedOn w:val="Normal"/>
    <w:link w:val="HeaderChar"/>
    <w:uiPriority w:val="99"/>
    <w:rsid w:val="00FA3419"/>
    <w:pPr>
      <w:tabs>
        <w:tab w:val="center" w:pos="4677"/>
        <w:tab w:val="right" w:pos="9355"/>
      </w:tabs>
    </w:pPr>
  </w:style>
  <w:style w:type="character" w:customStyle="1" w:styleId="HeaderChar">
    <w:name w:val="Header Char"/>
    <w:basedOn w:val="DefaultParagraphFont"/>
    <w:link w:val="Header"/>
    <w:uiPriority w:val="99"/>
    <w:semiHidden/>
    <w:locked/>
    <w:rsid w:val="007A68E9"/>
    <w:rPr>
      <w:sz w:val="24"/>
      <w:szCs w:val="24"/>
    </w:rPr>
  </w:style>
  <w:style w:type="character" w:customStyle="1" w:styleId="2">
    <w:name w:val="Знак Знак2"/>
    <w:uiPriority w:val="99"/>
    <w:rsid w:val="00FA3419"/>
    <w:rPr>
      <w:sz w:val="24"/>
      <w:szCs w:val="24"/>
    </w:rPr>
  </w:style>
  <w:style w:type="paragraph" w:styleId="Footer">
    <w:name w:val="footer"/>
    <w:basedOn w:val="Normal"/>
    <w:link w:val="FooterChar"/>
    <w:uiPriority w:val="99"/>
    <w:rsid w:val="00FA3419"/>
    <w:pPr>
      <w:tabs>
        <w:tab w:val="center" w:pos="4677"/>
        <w:tab w:val="right" w:pos="9355"/>
      </w:tabs>
    </w:pPr>
  </w:style>
  <w:style w:type="character" w:customStyle="1" w:styleId="FooterChar">
    <w:name w:val="Footer Char"/>
    <w:basedOn w:val="DefaultParagraphFont"/>
    <w:link w:val="Footer"/>
    <w:uiPriority w:val="99"/>
    <w:semiHidden/>
    <w:locked/>
    <w:rsid w:val="007A68E9"/>
    <w:rPr>
      <w:sz w:val="24"/>
      <w:szCs w:val="24"/>
    </w:rPr>
  </w:style>
  <w:style w:type="character" w:customStyle="1" w:styleId="1">
    <w:name w:val="Знак Знак1"/>
    <w:uiPriority w:val="99"/>
    <w:rsid w:val="00FA3419"/>
    <w:rPr>
      <w:sz w:val="24"/>
      <w:szCs w:val="24"/>
    </w:rPr>
  </w:style>
  <w:style w:type="paragraph" w:customStyle="1" w:styleId="Default">
    <w:name w:val="Default"/>
    <w:uiPriority w:val="99"/>
    <w:rsid w:val="00FA3419"/>
    <w:pPr>
      <w:autoSpaceDE w:val="0"/>
      <w:autoSpaceDN w:val="0"/>
      <w:adjustRightInd w:val="0"/>
    </w:pPr>
    <w:rPr>
      <w:rFonts w:ascii="Arial" w:hAnsi="Arial" w:cs="Arial"/>
      <w:color w:val="000000"/>
      <w:sz w:val="24"/>
      <w:szCs w:val="24"/>
    </w:rPr>
  </w:style>
  <w:style w:type="paragraph" w:customStyle="1" w:styleId="Iauiueaaa">
    <w:name w:val="Iau.iue (aaa)"/>
    <w:basedOn w:val="Default"/>
    <w:next w:val="Default"/>
    <w:uiPriority w:val="99"/>
    <w:rsid w:val="00FA3419"/>
    <w:rPr>
      <w:color w:val="auto"/>
    </w:rPr>
  </w:style>
  <w:style w:type="paragraph" w:styleId="BalloonText">
    <w:name w:val="Balloon Text"/>
    <w:basedOn w:val="Normal"/>
    <w:link w:val="BalloonTextChar"/>
    <w:uiPriority w:val="99"/>
    <w:semiHidden/>
    <w:rsid w:val="00FA34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68E9"/>
    <w:rPr>
      <w:sz w:val="2"/>
      <w:szCs w:val="2"/>
    </w:rPr>
  </w:style>
  <w:style w:type="character" w:customStyle="1" w:styleId="a">
    <w:name w:val="Знак Знак"/>
    <w:uiPriority w:val="99"/>
    <w:rsid w:val="00FA3419"/>
    <w:rPr>
      <w:rFonts w:ascii="Tahoma" w:hAnsi="Tahoma" w:cs="Tahoma"/>
      <w:sz w:val="16"/>
      <w:szCs w:val="16"/>
    </w:rPr>
  </w:style>
  <w:style w:type="paragraph" w:customStyle="1" w:styleId="10">
    <w:name w:val="Без интервала1"/>
    <w:uiPriority w:val="99"/>
    <w:rsid w:val="00D545D8"/>
    <w:pPr>
      <w:jc w:val="both"/>
    </w:pPr>
    <w:rPr>
      <w:sz w:val="24"/>
      <w:szCs w:val="24"/>
      <w:lang w:eastAsia="en-US"/>
    </w:rPr>
  </w:style>
  <w:style w:type="paragraph" w:styleId="NoSpacing">
    <w:name w:val="No Spacing"/>
    <w:uiPriority w:val="99"/>
    <w:qFormat/>
    <w:rsid w:val="003C1079"/>
    <w:pPr>
      <w:jc w:val="both"/>
    </w:pPr>
    <w:rPr>
      <w:sz w:val="24"/>
      <w:szCs w:val="24"/>
      <w:lang w:eastAsia="en-US"/>
    </w:rPr>
  </w:style>
  <w:style w:type="character" w:customStyle="1" w:styleId="blk">
    <w:name w:val="blk"/>
    <w:uiPriority w:val="99"/>
    <w:rsid w:val="003C1079"/>
  </w:style>
  <w:style w:type="paragraph" w:styleId="NormalWeb">
    <w:name w:val="Normal (Web)"/>
    <w:basedOn w:val="Normal"/>
    <w:uiPriority w:val="99"/>
    <w:semiHidden/>
    <w:rsid w:val="00524BD6"/>
    <w:pPr>
      <w:spacing w:before="100" w:beforeAutospacing="1" w:after="100" w:afterAutospacing="1"/>
      <w:jc w:val="left"/>
    </w:pPr>
  </w:style>
  <w:style w:type="character" w:styleId="CommentReference">
    <w:name w:val="annotation reference"/>
    <w:basedOn w:val="DefaultParagraphFont"/>
    <w:uiPriority w:val="99"/>
    <w:semiHidden/>
    <w:rsid w:val="0046241B"/>
    <w:rPr>
      <w:sz w:val="16"/>
      <w:szCs w:val="16"/>
    </w:rPr>
  </w:style>
  <w:style w:type="paragraph" w:styleId="CommentText">
    <w:name w:val="annotation text"/>
    <w:basedOn w:val="Normal"/>
    <w:link w:val="CommentTextChar"/>
    <w:uiPriority w:val="99"/>
    <w:semiHidden/>
    <w:rsid w:val="0046241B"/>
    <w:rPr>
      <w:sz w:val="20"/>
      <w:szCs w:val="20"/>
    </w:rPr>
  </w:style>
  <w:style w:type="character" w:customStyle="1" w:styleId="CommentTextChar">
    <w:name w:val="Comment Text Char"/>
    <w:basedOn w:val="DefaultParagraphFont"/>
    <w:link w:val="CommentText"/>
    <w:uiPriority w:val="99"/>
    <w:semiHidden/>
    <w:locked/>
    <w:rsid w:val="0046241B"/>
  </w:style>
  <w:style w:type="paragraph" w:styleId="CommentSubject">
    <w:name w:val="annotation subject"/>
    <w:basedOn w:val="CommentText"/>
    <w:next w:val="CommentText"/>
    <w:link w:val="CommentSubjectChar"/>
    <w:uiPriority w:val="99"/>
    <w:semiHidden/>
    <w:rsid w:val="0046241B"/>
    <w:rPr>
      <w:b/>
      <w:bCs/>
    </w:rPr>
  </w:style>
  <w:style w:type="character" w:customStyle="1" w:styleId="CommentSubjectChar">
    <w:name w:val="Comment Subject Char"/>
    <w:basedOn w:val="CommentTextChar"/>
    <w:link w:val="CommentSubject"/>
    <w:uiPriority w:val="99"/>
    <w:semiHidden/>
    <w:locked/>
    <w:rsid w:val="0046241B"/>
    <w:rPr>
      <w:b/>
      <w:bCs/>
    </w:rPr>
  </w:style>
  <w:style w:type="table" w:styleId="TableGrid">
    <w:name w:val="Table Grid"/>
    <w:basedOn w:val="TableNormal"/>
    <w:uiPriority w:val="99"/>
    <w:rsid w:val="000C23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3</Pages>
  <Words>1277</Words>
  <Characters>7283</Characters>
  <Application>Microsoft Office Outlook</Application>
  <DocSecurity>0</DocSecurity>
  <Lines>0</Lines>
  <Paragraphs>0</Paragraphs>
  <ScaleCrop>false</ScaleCrop>
  <Company>TatCenter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5</dc:title>
  <dc:subject/>
  <dc:creator>Marina</dc:creator>
  <cp:keywords/>
  <dc:description/>
  <cp:lastModifiedBy>Евгения Ивановна</cp:lastModifiedBy>
  <cp:revision>6</cp:revision>
  <cp:lastPrinted>2019-04-22T14:14:00Z</cp:lastPrinted>
  <dcterms:created xsi:type="dcterms:W3CDTF">2019-04-18T08:48:00Z</dcterms:created>
  <dcterms:modified xsi:type="dcterms:W3CDTF">2019-04-22T14:14:00Z</dcterms:modified>
</cp:coreProperties>
</file>